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72E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center"/>
        <w:rPr>
          <w:rStyle w:val="5"/>
          <w:rFonts w:hint="default" w:ascii="Arial" w:hAnsi="Arial" w:cs="Arial" w:eastAsiaTheme="minorEastAsia"/>
          <w:b/>
          <w:bCs w:val="0"/>
          <w:i w:val="0"/>
          <w:iCs w:val="0"/>
          <w:caps w:val="0"/>
          <w:color w:val="000000" w:themeColor="text1"/>
          <w:spacing w:val="0"/>
          <w:sz w:val="44"/>
          <w:szCs w:val="44"/>
          <w:bdr w:val="none" w:color="auto" w:sz="0" w:space="0"/>
          <w:shd w:val="clear" w:fill="FFFFFF"/>
          <w:lang w:val="en-US" w:eastAsia="zh-CN"/>
          <w14:textFill>
            <w14:solidFill>
              <w14:schemeClr w14:val="tx1"/>
            </w14:solidFill>
          </w14:textFill>
        </w:rPr>
      </w:pPr>
      <w:bookmarkStart w:id="0" w:name="_GoBack"/>
      <w:bookmarkEnd w:id="0"/>
      <w:r>
        <w:rPr>
          <w:rStyle w:val="5"/>
          <w:rFonts w:hint="eastAsia" w:ascii="Arial" w:hAnsi="Arial" w:cs="Arial"/>
          <w:b/>
          <w:bCs w:val="0"/>
          <w:i w:val="0"/>
          <w:iCs w:val="0"/>
          <w:caps w:val="0"/>
          <w:color w:val="000000" w:themeColor="text1"/>
          <w:spacing w:val="0"/>
          <w:sz w:val="44"/>
          <w:szCs w:val="44"/>
          <w:bdr w:val="none" w:color="auto" w:sz="0" w:space="0"/>
          <w:shd w:val="clear" w:fill="FFFFFF"/>
          <w:lang w:val="en-US" w:eastAsia="zh-CN"/>
          <w14:textFill>
            <w14:solidFill>
              <w14:schemeClr w14:val="tx1"/>
            </w14:solidFill>
          </w14:textFill>
        </w:rPr>
        <w:t>广东轻工职业技术大学</w:t>
      </w:r>
    </w:p>
    <w:p w14:paraId="47A2F6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第一章 总则</w:t>
      </w:r>
    </w:p>
    <w:p w14:paraId="50D7CD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第一条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为保证学校夏季高考招生工作顺利进行，切实维护学校和考生的合法权益，依据《中华人民共和国教育法》《中华人民共和国高等教育法》以及教育部、广东省教育厅、广东省招生委员会有关规定，结合广东轻工职业技术学院招生工作实际，制定本章程。</w:t>
      </w:r>
    </w:p>
    <w:p w14:paraId="52CF0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第二条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学校招生工作坚持公平竞争、公正选拔、公开透明，坚持德智体美劳全面考核、综合评价、择优录取。学校招生工作接受学校纪检监察部门、考生、家长以及社会各界的监督。</w:t>
      </w:r>
    </w:p>
    <w:p w14:paraId="423052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第二章 学校概况</w:t>
      </w:r>
    </w:p>
    <w:p w14:paraId="00DBBE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第三条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学校名称：广东轻工职业技术学院</w:t>
      </w:r>
    </w:p>
    <w:p w14:paraId="6E669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第四条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学校国标代码：10833</w:t>
      </w:r>
    </w:p>
    <w:p w14:paraId="704707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第五条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学校地址：</w:t>
      </w:r>
    </w:p>
    <w:p w14:paraId="0EF45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广州新港校区：广州市海珠区新港西路152号；邮政编码：510300</w:t>
      </w:r>
    </w:p>
    <w:p w14:paraId="1DE2A6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南海校区南区：佛山市南海软件科技园万锦路；邮政编码：528225</w:t>
      </w:r>
    </w:p>
    <w:p w14:paraId="67C759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南海校区北区：佛山市南海软件科技园信息大道中；邮政编码：528225</w:t>
      </w:r>
    </w:p>
    <w:p w14:paraId="25177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第六条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办学层次：高职（专科）</w:t>
      </w:r>
    </w:p>
    <w:p w14:paraId="6674F0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第七条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办学性质：公办高等职业技术学校</w:t>
      </w:r>
    </w:p>
    <w:p w14:paraId="680C57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第八条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办学类型：全日制</w:t>
      </w:r>
    </w:p>
    <w:p w14:paraId="580AC4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第九条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学校主管单位：广东省教育厅</w:t>
      </w:r>
    </w:p>
    <w:p w14:paraId="5AF35B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第十条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毕（结）业颁证：对取得我校学籍，在规定年限内达到所在专业毕（结）业要求者，颁发广东轻工职业技术学院普通高等学校毕（结）业证书。退学学生，视具体情况发放肄业证书或开具写实性学习证明。</w:t>
      </w:r>
    </w:p>
    <w:p w14:paraId="0EFAE7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第三章 组织机构及职责</w:t>
      </w:r>
    </w:p>
    <w:p w14:paraId="04C418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第十一条 </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14:paraId="20808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第十二条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14:paraId="05F693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第十三条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学校设立由学校领导和纪检监察部门组成的考试招生监察小组，对招生工作全过程实施监督。在录取期间成立信访组，安排专人负责考生和社会的信访、申诉、投诉处理工作。</w:t>
      </w:r>
    </w:p>
    <w:p w14:paraId="5ED82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第四章 招生计划</w:t>
      </w:r>
    </w:p>
    <w:p w14:paraId="677DD6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第十四条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学校录取批次为专科批次。</w:t>
      </w:r>
    </w:p>
    <w:p w14:paraId="24F1D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第十五条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学校分专业招生计划及有关要求均以生源省（区、市）公布的专业目录为准。</w:t>
      </w:r>
    </w:p>
    <w:p w14:paraId="6F1FFB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第十六条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精细化工技术与仲恺农业工程学院化学工程与工艺专业联合开展“三二分段专升本协同育人项目实验班”通过广东省夏季普通高考招收学生，与学校其他专业同批次录取，单独院校专业组招生，单独编班。试点专业实验班学生按五年人才培养方案要求，完成三年高职学段学习，各项考核合格，并符合相关条件和要求的，获得学校普通高职（专科）毕业证书。通过转段选拔考核合格的实验班学生进入相应本科学校试点专业学习两年，符合相关条件和要求的，可获得相应本科学校普通本科毕业证书和学位证书。非实验班学生，不得转入试点专业实验班学习。</w:t>
      </w:r>
    </w:p>
    <w:p w14:paraId="3B6E1A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第十七条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广告艺术设计（中外合作办学）专业为中外合作办学专业，具体培养模式和收费标准详见本校招生网站。软件技术、大数据技术、数字媒体技术、信息安全技术应用、工业互联网技术、工业软件开发技术按计算机类招生，第一学期末进行专业考试分流，具体专业分流请查看学校招生网站。</w:t>
      </w:r>
    </w:p>
    <w:p w14:paraId="368375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第五章 录取规则</w:t>
      </w:r>
    </w:p>
    <w:p w14:paraId="7076C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第十八条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遵循教育部规定的“学校负责、招办监督”的录取体制，严格遵守教育部、省（区、市）招生办公室的有关招生录取政策和规定，本着公开、公平、公正的原则，以考生高考成绩为基本依据，综合衡量德智体美劳，择优录取。</w:t>
      </w:r>
    </w:p>
    <w:p w14:paraId="2EE764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第十九条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在省（区、市）招生委员会划定的录取控制分数线上分类录取。</w:t>
      </w:r>
    </w:p>
    <w:p w14:paraId="41E4F1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第二十条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在广东省报考我校招生专业，计入高考总成绩的3门普通高中学业水平选择性考试科目对应的3门普通高中学业水平合格性考试科目须合格。具体要求以广东省当年招生录取工作文件为准。</w:t>
      </w:r>
    </w:p>
    <w:p w14:paraId="31E17B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第二十一条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在实行平行志愿投档的省（区、市），学校可根据各省级招生办公室公布的平行志愿投档规则及生源情况确定招生计划微调方案和调档比例。</w:t>
      </w:r>
    </w:p>
    <w:p w14:paraId="42336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第二十二条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在思想政治品德考核和身体健康状况检查合格、统考成绩达到同批录取最低分数线，符合学校提档要求的情况下，依据考生成绩、专业志愿，以及学校录取原则择优录取。</w:t>
      </w:r>
    </w:p>
    <w:p w14:paraId="015C1C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第二十三条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普通类专业分档时，根据各省（区、市）投档规则出档后，实行“专业志愿优先”原则，根据考生填报专业志愿顺序，按考生投档总分排位情况从高到低排序录取。考生投档总分排位相同时，优先录取已修习相关专业基础知识（模块）的考生。</w:t>
      </w:r>
    </w:p>
    <w:p w14:paraId="1093FD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在无排位或排位分的省（区、市）的同分点处理办法：按该省份有关规定执行。</w:t>
      </w:r>
    </w:p>
    <w:p w14:paraId="69667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第二十四条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广东省美术与设计类专业分档时，根据投档规则出档后，在考生符合专业要求的基础上，实行 “专业志愿优先”原则，根据考生所填报专业志愿顺序，按考生投档总分排位情况从高到低录取。考生投档总分相同时，按照考生排位择优录取。当考生排位相同时，优先录取已修习相关专业基础知识（模块）的考生。</w:t>
      </w:r>
    </w:p>
    <w:p w14:paraId="0E9CF0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外省美术与设计类专业分档时，根据各省（区、市）投档规则出档后，在考生符合专业要求的基础上，按综合分（文化成绩×50%+专业课成绩/专业课总分×文化成绩总分×50%）计算，对投出的考生档案按“专业志愿优先”的原则，从高分到低分的顺序择优录取。若总分相同，术科成绩高者优先录取。</w:t>
      </w:r>
    </w:p>
    <w:p w14:paraId="416B5B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第二十五条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考生所填报的所有专业志愿均未被录取时，若服从专业调剂，按考生投档总分从高到低调剂到计划有空额且符合相关专业要求的专业录取。考生不服从调剂的，或服从调剂但是不符合计划有空额专业相关要求的，作退档处理。</w:t>
      </w:r>
    </w:p>
    <w:p w14:paraId="7B4D9F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第二十六条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学校公共外语教学为英语，非英语语种考生需慎重报考。</w:t>
      </w:r>
    </w:p>
    <w:p w14:paraId="1EA14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第二十七条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有关加分或照顾录取政策，按各省（区、市）有关规定执行。</w:t>
      </w:r>
    </w:p>
    <w:p w14:paraId="2C934B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第二十八条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高考综合改革试点省（区、市）按其高考改革方案相关规定执行。</w:t>
      </w:r>
    </w:p>
    <w:p w14:paraId="420B4E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第六章 录取体检标准</w:t>
      </w:r>
    </w:p>
    <w:p w14:paraId="00A881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第二十九条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14:paraId="57C6D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学校招生专业对考生身体素质的具体要求详见各省（区、市）招生办公室公布的招生专业目录。</w:t>
      </w:r>
    </w:p>
    <w:p w14:paraId="49A62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第三十条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14:paraId="5F1BA1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第七章 新生注册和复查</w:t>
      </w:r>
    </w:p>
    <w:p w14:paraId="4C3DB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第三十一条 </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经学校夏季高考招生录取的考生，须在规定时间内办理缴交学费注册手续，逾期未注册者，作自行放弃入学资格处理。</w:t>
      </w:r>
    </w:p>
    <w:p w14:paraId="1586BD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第三十二条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新生入学三个月内，将对学生进行政治、文化、健康等方面的复查。对在报名和考试过程中有弄虚作假或其他违纪违规行为者，将按规定取消学籍。</w:t>
      </w:r>
    </w:p>
    <w:p w14:paraId="1D771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新生入学复查相关工作按广东省招生办相关文件要求执行。</w:t>
      </w:r>
    </w:p>
    <w:p w14:paraId="799B1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第八章 收费标准</w:t>
      </w:r>
    </w:p>
    <w:p w14:paraId="37204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第三十三条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学校收费标准按《关于调整公办普通高校学费的通知》（粤发改价格〔2016〕367号）和《广东省发展改革委 广东省教育厅 广东省财政厅关于广东省普通高校学分制收费的管理办法（2021年修订）》（粤发改规〔2021〕10号）公布的标准执行。</w:t>
      </w:r>
    </w:p>
    <w:p w14:paraId="1BFDDF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文科类专业学费 5250元/生·学年；理科类专业学费 6410元/生·学年；美术与设计类专业学费 10000元/生·学年；广告艺术设计（中外合作办学）专业学费29800元/生·学年。</w:t>
      </w:r>
    </w:p>
    <w:p w14:paraId="512BC3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第九章 资助学生政策</w:t>
      </w:r>
    </w:p>
    <w:p w14:paraId="01BE74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第三十四条 </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国家助学贷款、奖学金、助学金等助学措施按照教育部、广东省教育厅和学校相关规定执行。</w:t>
      </w:r>
    </w:p>
    <w:p w14:paraId="4CDEC6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第十章 招生工作的咨询、监督与申诉</w:t>
      </w:r>
    </w:p>
    <w:p w14:paraId="2AF219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第三十五条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招生咨询及联系方式</w:t>
      </w:r>
    </w:p>
    <w:p w14:paraId="79329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咨询电话：020-61230900/61230198</w:t>
      </w:r>
    </w:p>
    <w:p w14:paraId="7125D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传    真：020-61230898</w:t>
      </w:r>
    </w:p>
    <w:p w14:paraId="06165B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电子邮箱：305@gdqy.edu.cn</w:t>
      </w:r>
    </w:p>
    <w:p w14:paraId="1EDFC1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学校网址：https://www.gdqy.edu.cn/</w:t>
      </w:r>
    </w:p>
    <w:p w14:paraId="63D924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招生网址：http:/zs.gdip.edu.cn/</w:t>
      </w:r>
    </w:p>
    <w:p w14:paraId="4A849A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第三十六条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学校纪检室负责监察、监督学校招生工作，并接受相关申诉。</w:t>
      </w:r>
    </w:p>
    <w:p w14:paraId="5CE20F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联 系 人： 潘老师</w:t>
      </w:r>
    </w:p>
    <w:p w14:paraId="4735F5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监督电话：020-61230812</w:t>
      </w:r>
    </w:p>
    <w:p w14:paraId="25D08A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电子邮箱：gdqyjd@gdip.edu.cn</w:t>
      </w:r>
    </w:p>
    <w:p w14:paraId="5E69E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第十一章 附则</w:t>
      </w:r>
    </w:p>
    <w:p w14:paraId="2383C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rFonts w:hint="default" w:ascii="Arial" w:hAnsi="Arial" w:cs="Arial"/>
          <w:i w:val="0"/>
          <w:iCs w:val="0"/>
          <w:caps w:val="0"/>
          <w:color w:val="000000" w:themeColor="text1"/>
          <w:spacing w:val="0"/>
          <w:sz w:val="24"/>
          <w:szCs w:val="24"/>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第三十七条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本章程经学校校长办公会议讨论审查通过，适用于学校2024年夏季普通高考专科招生工作，自公布之日起施行。</w:t>
      </w:r>
    </w:p>
    <w:p w14:paraId="60242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8" w:beforeAutospacing="0" w:after="288" w:afterAutospacing="0" w:line="360" w:lineRule="atLeast"/>
        <w:ind w:left="0" w:right="0" w:firstLine="0"/>
        <w:jc w:val="both"/>
        <w:rPr>
          <w:color w:val="000000" w:themeColor="text1"/>
          <w:sz w:val="32"/>
          <w:szCs w:val="32"/>
          <w14:textFill>
            <w14:solidFill>
              <w14:schemeClr w14:val="tx1"/>
            </w14:solidFill>
          </w14:textFill>
        </w:rPr>
      </w:pPr>
      <w:r>
        <w:rPr>
          <w:rStyle w:val="5"/>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第三十八条</w:t>
      </w:r>
      <w:r>
        <w:rPr>
          <w:rFonts w:hint="default" w:ascii="Arial" w:hAnsi="Arial" w:cs="Arial"/>
          <w:i w:val="0"/>
          <w:iCs w:val="0"/>
          <w:caps w:val="0"/>
          <w:color w:val="000000" w:themeColor="text1"/>
          <w:spacing w:val="0"/>
          <w:sz w:val="24"/>
          <w:szCs w:val="24"/>
          <w:bdr w:val="none" w:color="auto" w:sz="0" w:space="0"/>
          <w:shd w:val="clear" w:fill="FFFFFF"/>
          <w14:textFill>
            <w14:solidFill>
              <w14:schemeClr w14:val="tx1"/>
            </w14:solidFill>
          </w14:textFill>
        </w:rPr>
        <w:t>  本章程由广东轻工职业技术学院招生办公室解释。本章程若与国家和各省（区、市）的规定不一致，则以国家和各省（区、市）的规定为准。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8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2025-03-19T08:43:06Z</dcterms:created>
  <dc:creator>于雪</dc:creator>
  <cp:lastModifiedBy>困倚危楼</cp:lastModifiedBy>
  <dcterms:modified xsi:type="dcterms:W3CDTF">2025-03-19T08:44:09Z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1DB51CA4EF1243BDBB654A6BF8B6D376_12</vt:lpwstr>
  </property>
</Properties>
</file>